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645" w:rsidRDefault="00304645" w:rsidP="00304645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641F50" w:rsidRDefault="00641F50" w:rsidP="00304645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641F50" w:rsidRDefault="00641F50" w:rsidP="00641F50">
      <w:pPr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№1.1 </w:t>
      </w:r>
    </w:p>
    <w:p w:rsidR="00641F50" w:rsidRDefault="00641F50" w:rsidP="00641F50">
      <w:pPr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Документации о закупке</w:t>
      </w:r>
    </w:p>
    <w:p w:rsidR="00641F50" w:rsidRPr="00EC007C" w:rsidRDefault="00641F50" w:rsidP="00304645">
      <w:pPr>
        <w:ind w:left="5387"/>
        <w:rPr>
          <w:rFonts w:ascii="Times New Roman" w:hAnsi="Times New Roman" w:cs="Times New Roman"/>
          <w:vanish/>
          <w:sz w:val="28"/>
          <w:szCs w:val="28"/>
        </w:rPr>
      </w:pPr>
    </w:p>
    <w:p w:rsidR="00304645" w:rsidRPr="00EC007C" w:rsidRDefault="00304645" w:rsidP="00304645">
      <w:pPr>
        <w:pStyle w:val="a4"/>
        <w:spacing w:line="288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C007C">
        <w:rPr>
          <w:rFonts w:ascii="Times New Roman" w:hAnsi="Times New Roman" w:cs="Times New Roman"/>
          <w:bCs/>
          <w:sz w:val="28"/>
          <w:szCs w:val="28"/>
        </w:rPr>
        <w:t>Техническое задание</w:t>
      </w:r>
    </w:p>
    <w:p w:rsidR="00304645" w:rsidRPr="00EC007C" w:rsidRDefault="00304645" w:rsidP="00304645">
      <w:pPr>
        <w:jc w:val="center"/>
        <w:rPr>
          <w:rFonts w:ascii="Times New Roman" w:hAnsi="Times New Roman" w:cs="Times New Roman"/>
          <w:vanish/>
          <w:sz w:val="28"/>
          <w:szCs w:val="28"/>
        </w:rPr>
      </w:pPr>
      <w:r w:rsidRPr="00EC007C">
        <w:rPr>
          <w:rFonts w:ascii="Times New Roman" w:hAnsi="Times New Roman" w:cs="Times New Roman"/>
          <w:b/>
          <w:bCs/>
          <w:sz w:val="28"/>
          <w:szCs w:val="28"/>
        </w:rPr>
        <w:t>на выполнение работ, по комплексной оценке,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технического состояния             защитных сооружений гражданской обороны ПАО «Башинформсвязь»</w:t>
      </w:r>
    </w:p>
    <w:p w:rsidR="00304645" w:rsidRDefault="00304645" w:rsidP="00304645">
      <w:pPr>
        <w:rPr>
          <w:rFonts w:ascii="Times New Roman" w:hAnsi="Times New Roman" w:cs="Times New Roman"/>
          <w:vanish/>
          <w:sz w:val="28"/>
          <w:szCs w:val="28"/>
        </w:rPr>
      </w:pPr>
    </w:p>
    <w:p w:rsidR="00304645" w:rsidRPr="00EC007C" w:rsidRDefault="00304645" w:rsidP="00304645">
      <w:pPr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9813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2074"/>
        <w:gridCol w:w="947"/>
        <w:gridCol w:w="1134"/>
        <w:gridCol w:w="1842"/>
        <w:gridCol w:w="1276"/>
        <w:gridCol w:w="1776"/>
      </w:tblGrid>
      <w:tr w:rsidR="00304645" w:rsidRPr="00EC007C" w:rsidTr="00304645">
        <w:trPr>
          <w:trHeight w:val="319"/>
        </w:trPr>
        <w:tc>
          <w:tcPr>
            <w:tcW w:w="764" w:type="dxa"/>
            <w:vAlign w:val="center"/>
          </w:tcPr>
          <w:p w:rsidR="00304645" w:rsidRPr="00034972" w:rsidRDefault="00304645" w:rsidP="00231521">
            <w:pPr>
              <w:pStyle w:val="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034972">
              <w:rPr>
                <w:b w:val="0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49" w:type="dxa"/>
            <w:gridSpan w:val="6"/>
            <w:vAlign w:val="center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160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rStyle w:val="11"/>
                <w:b/>
                <w:szCs w:val="24"/>
              </w:rPr>
              <w:t>Общие данные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21" w:type="dxa"/>
            <w:gridSpan w:val="2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 xml:space="preserve">Основания для </w:t>
            </w:r>
            <w:r>
              <w:rPr>
                <w:rStyle w:val="12pt"/>
                <w:lang w:eastAsia="ru-RU"/>
              </w:rPr>
              <w:t>проведения комплексной оценки ЗС ГО</w:t>
            </w:r>
            <w:r w:rsidRPr="00EC007C">
              <w:rPr>
                <w:rStyle w:val="12pt"/>
                <w:lang w:eastAsia="ru-RU"/>
              </w:rPr>
              <w:t xml:space="preserve"> </w:t>
            </w:r>
          </w:p>
        </w:tc>
        <w:tc>
          <w:tcPr>
            <w:tcW w:w="6028" w:type="dxa"/>
            <w:gridSpan w:val="4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34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>Приказ МЧС России от 15.12.2002 № 583 «Об утверждении и введении в действие Правил эксплуатации защитных сооружений гражданской обороны» (в ред. Приказов МЧС России от 09.08.2010 N 377, от 22.12.2015 N 679), далее – Правила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021" w:type="dxa"/>
            <w:gridSpan w:val="2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jc w:val="left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>Цели и задачи</w:t>
            </w:r>
          </w:p>
        </w:tc>
        <w:tc>
          <w:tcPr>
            <w:tcW w:w="6028" w:type="dxa"/>
            <w:gridSpan w:val="4"/>
          </w:tcPr>
          <w:p w:rsidR="00304645" w:rsidRPr="00425A04" w:rsidRDefault="00304645" w:rsidP="00231521">
            <w:pPr>
              <w:pStyle w:val="2"/>
              <w:shd w:val="clear" w:color="auto" w:fill="auto"/>
              <w:spacing w:before="0" w:line="240" w:lineRule="auto"/>
              <w:jc w:val="left"/>
              <w:rPr>
                <w:rStyle w:val="12pt"/>
                <w:lang w:eastAsia="ru-RU"/>
              </w:rPr>
            </w:pPr>
            <w:r>
              <w:rPr>
                <w:rStyle w:val="12pt"/>
                <w:lang w:eastAsia="ru-RU"/>
              </w:rPr>
              <w:t>Комплексная о</w:t>
            </w:r>
            <w:r w:rsidRPr="00425A04">
              <w:rPr>
                <w:rStyle w:val="12pt"/>
                <w:lang w:eastAsia="ru-RU"/>
              </w:rPr>
              <w:t>ценка технического состояния защитного сооружения гражданской обороны (далее - ЗС ГО) на соответствие требованиям нормативно-технической документации к проектированию, строительству и содержанию защитных сооружений гражданской обороны.</w:t>
            </w:r>
          </w:p>
          <w:p w:rsidR="00304645" w:rsidRPr="00425A04" w:rsidRDefault="00304645" w:rsidP="00231521">
            <w:pPr>
              <w:pStyle w:val="2"/>
              <w:shd w:val="clear" w:color="auto" w:fill="auto"/>
              <w:spacing w:before="0" w:line="240" w:lineRule="auto"/>
              <w:jc w:val="left"/>
              <w:rPr>
                <w:rStyle w:val="12pt"/>
                <w:lang w:eastAsia="ru-RU"/>
              </w:rPr>
            </w:pPr>
            <w:r w:rsidRPr="00425A04">
              <w:rPr>
                <w:rStyle w:val="12pt"/>
                <w:lang w:eastAsia="ru-RU"/>
              </w:rPr>
              <w:t>Разработка актов оценки и ведомости дефектов по каждому ЗС ГО для дальнейшего проведения мероприятий по приведению в готовность к приему укрываемых.</w:t>
            </w:r>
          </w:p>
          <w:p w:rsidR="00304645" w:rsidRPr="00425A04" w:rsidRDefault="00304645" w:rsidP="00231521">
            <w:pPr>
              <w:pStyle w:val="2"/>
              <w:shd w:val="clear" w:color="auto" w:fill="auto"/>
              <w:spacing w:before="0" w:line="240" w:lineRule="auto"/>
              <w:jc w:val="left"/>
              <w:rPr>
                <w:rStyle w:val="12pt"/>
                <w:lang w:eastAsia="ru-RU"/>
              </w:rPr>
            </w:pPr>
            <w:r w:rsidRPr="00425A04">
              <w:rPr>
                <w:rStyle w:val="12pt"/>
                <w:lang w:eastAsia="ru-RU"/>
              </w:rPr>
              <w:t>Определение объема и стоимости ремонтных работ.</w:t>
            </w:r>
          </w:p>
          <w:p w:rsidR="00304645" w:rsidRPr="00425A04" w:rsidRDefault="00304645" w:rsidP="00231521">
            <w:pPr>
              <w:pStyle w:val="2"/>
              <w:shd w:val="clear" w:color="auto" w:fill="auto"/>
              <w:spacing w:before="0" w:line="240" w:lineRule="auto"/>
              <w:jc w:val="left"/>
              <w:rPr>
                <w:rStyle w:val="12pt"/>
                <w:lang w:eastAsia="ru-RU"/>
              </w:rPr>
            </w:pPr>
            <w:r w:rsidRPr="00425A04">
              <w:rPr>
                <w:rStyle w:val="12pt"/>
                <w:lang w:eastAsia="ru-RU"/>
              </w:rPr>
              <w:t>Разработка эксплуатационных схем.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eastAsia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049" w:type="dxa"/>
            <w:gridSpan w:val="6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jc w:val="left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 xml:space="preserve">Объекты </w:t>
            </w:r>
            <w:r>
              <w:rPr>
                <w:rStyle w:val="12pt"/>
                <w:lang w:eastAsia="ru-RU"/>
              </w:rPr>
              <w:t>комплексной оценки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№</w:t>
            </w:r>
          </w:p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74" w:type="dxa"/>
            <w:vAlign w:val="center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Дислокация </w:t>
            </w:r>
          </w:p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ЗС ГО</w:t>
            </w:r>
          </w:p>
        </w:tc>
        <w:tc>
          <w:tcPr>
            <w:tcW w:w="947" w:type="dxa"/>
            <w:vAlign w:val="center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Тип </w:t>
            </w:r>
          </w:p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ЗС ГО</w:t>
            </w:r>
          </w:p>
        </w:tc>
        <w:tc>
          <w:tcPr>
            <w:tcW w:w="1134" w:type="dxa"/>
            <w:vAlign w:val="center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Класс</w:t>
            </w:r>
          </w:p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ЗС ГО</w:t>
            </w:r>
          </w:p>
        </w:tc>
        <w:tc>
          <w:tcPr>
            <w:tcW w:w="1842" w:type="dxa"/>
            <w:vAlign w:val="center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Проектная вместимость, тыс. чел.</w:t>
            </w:r>
          </w:p>
        </w:tc>
        <w:tc>
          <w:tcPr>
            <w:tcW w:w="1276" w:type="dxa"/>
            <w:vAlign w:val="center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Общая площадь, </w:t>
            </w:r>
          </w:p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м</w:t>
            </w:r>
            <w:r w:rsidRPr="00425A0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776" w:type="dxa"/>
            <w:vAlign w:val="center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Наличие </w:t>
            </w:r>
            <w:r w:rsidRPr="00425A04">
              <w:rPr>
                <w:rFonts w:ascii="Times New Roman" w:hAnsi="Times New Roman" w:cs="Times New Roman"/>
                <w:lang w:val="en-US"/>
              </w:rPr>
              <w:t>III</w:t>
            </w:r>
            <w:r w:rsidRPr="00425A04">
              <w:rPr>
                <w:rFonts w:ascii="Times New Roman" w:hAnsi="Times New Roman" w:cs="Times New Roman"/>
              </w:rPr>
              <w:t xml:space="preserve"> режима</w:t>
            </w:r>
            <w:r>
              <w:rPr>
                <w:rFonts w:ascii="Times New Roman" w:hAnsi="Times New Roman" w:cs="Times New Roman"/>
              </w:rPr>
              <w:t xml:space="preserve"> вентиляции и ДЭС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425A04" w:rsidRDefault="00304645" w:rsidP="00304645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304645" w:rsidRPr="00425A04" w:rsidRDefault="00304645" w:rsidP="00231521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г. Белорецк </w:t>
            </w:r>
          </w:p>
        </w:tc>
        <w:tc>
          <w:tcPr>
            <w:tcW w:w="947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А</w:t>
            </w:r>
            <w:r w:rsidRPr="00425A0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25A04">
              <w:rPr>
                <w:rFonts w:ascii="Times New Roman" w:hAnsi="Times New Roman" w:cs="Times New Roman"/>
              </w:rPr>
              <w:t>-</w:t>
            </w:r>
            <w:r w:rsidRPr="00425A04">
              <w:rPr>
                <w:rFonts w:ascii="Times New Roman" w:hAnsi="Times New Roman" w:cs="Times New Roman"/>
                <w:lang w:val="en-US"/>
              </w:rPr>
              <w:t xml:space="preserve"> III</w:t>
            </w:r>
          </w:p>
        </w:tc>
        <w:tc>
          <w:tcPr>
            <w:tcW w:w="1842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  <w:lang w:val="en-US"/>
              </w:rPr>
              <w:t>0</w:t>
            </w:r>
            <w:r w:rsidRPr="00425A04">
              <w:rPr>
                <w:rFonts w:ascii="Times New Roman" w:hAnsi="Times New Roman" w:cs="Times New Roman"/>
              </w:rPr>
              <w:t>,15</w:t>
            </w:r>
          </w:p>
        </w:tc>
        <w:tc>
          <w:tcPr>
            <w:tcW w:w="1276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168,4</w:t>
            </w:r>
          </w:p>
        </w:tc>
        <w:tc>
          <w:tcPr>
            <w:tcW w:w="1776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425A04" w:rsidRDefault="00304645" w:rsidP="00304645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304645" w:rsidRPr="00425A04" w:rsidRDefault="00304645" w:rsidP="00231521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г. Нефтекамск </w:t>
            </w:r>
          </w:p>
        </w:tc>
        <w:tc>
          <w:tcPr>
            <w:tcW w:w="947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А</w:t>
            </w:r>
            <w:r w:rsidRPr="00425A0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25A04">
              <w:rPr>
                <w:rFonts w:ascii="Times New Roman" w:hAnsi="Times New Roman" w:cs="Times New Roman"/>
              </w:rPr>
              <w:t>-</w:t>
            </w:r>
            <w:r w:rsidRPr="00425A04">
              <w:rPr>
                <w:rFonts w:ascii="Times New Roman" w:hAnsi="Times New Roman" w:cs="Times New Roman"/>
                <w:lang w:val="en-US"/>
              </w:rPr>
              <w:t xml:space="preserve"> III</w:t>
            </w:r>
          </w:p>
        </w:tc>
        <w:tc>
          <w:tcPr>
            <w:tcW w:w="1842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  <w:lang w:val="en-US"/>
              </w:rPr>
              <w:t>0</w:t>
            </w:r>
            <w:r w:rsidRPr="00425A04">
              <w:rPr>
                <w:rFonts w:ascii="Times New Roman" w:hAnsi="Times New Roman" w:cs="Times New Roman"/>
              </w:rPr>
              <w:t>,15</w:t>
            </w:r>
          </w:p>
        </w:tc>
        <w:tc>
          <w:tcPr>
            <w:tcW w:w="1276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776" w:type="dxa"/>
          </w:tcPr>
          <w:p w:rsidR="00304645" w:rsidRDefault="00304645" w:rsidP="00231521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425A04" w:rsidRDefault="00304645" w:rsidP="00304645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304645" w:rsidRPr="00425A04" w:rsidRDefault="00304645" w:rsidP="00231521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 г. Октябрьский </w:t>
            </w:r>
          </w:p>
        </w:tc>
        <w:tc>
          <w:tcPr>
            <w:tcW w:w="947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А</w:t>
            </w:r>
            <w:r w:rsidRPr="00425A0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25A04">
              <w:rPr>
                <w:rFonts w:ascii="Times New Roman" w:hAnsi="Times New Roman" w:cs="Times New Roman"/>
              </w:rPr>
              <w:t>-</w:t>
            </w:r>
            <w:r w:rsidRPr="00425A04">
              <w:rPr>
                <w:rFonts w:ascii="Times New Roman" w:hAnsi="Times New Roman" w:cs="Times New Roman"/>
                <w:lang w:val="en-US"/>
              </w:rPr>
              <w:t xml:space="preserve"> III</w:t>
            </w:r>
          </w:p>
        </w:tc>
        <w:tc>
          <w:tcPr>
            <w:tcW w:w="1842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  <w:lang w:val="en-US"/>
              </w:rPr>
              <w:t>0</w:t>
            </w:r>
            <w:r w:rsidRPr="00425A04">
              <w:rPr>
                <w:rFonts w:ascii="Times New Roman" w:hAnsi="Times New Roman" w:cs="Times New Roman"/>
              </w:rPr>
              <w:t>,15</w:t>
            </w:r>
          </w:p>
        </w:tc>
        <w:tc>
          <w:tcPr>
            <w:tcW w:w="1276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76" w:type="dxa"/>
          </w:tcPr>
          <w:p w:rsidR="00304645" w:rsidRDefault="00304645" w:rsidP="00231521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425A04" w:rsidRDefault="00304645" w:rsidP="00304645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304645" w:rsidRPr="00425A04" w:rsidRDefault="00304645" w:rsidP="00231521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г. Сибай</w:t>
            </w:r>
          </w:p>
        </w:tc>
        <w:tc>
          <w:tcPr>
            <w:tcW w:w="947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ОСУ</w:t>
            </w:r>
          </w:p>
        </w:tc>
        <w:tc>
          <w:tcPr>
            <w:tcW w:w="1134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А - </w:t>
            </w:r>
            <w:r w:rsidRPr="00425A04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842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276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156,8</w:t>
            </w:r>
          </w:p>
        </w:tc>
        <w:tc>
          <w:tcPr>
            <w:tcW w:w="1776" w:type="dxa"/>
          </w:tcPr>
          <w:p w:rsidR="00304645" w:rsidRDefault="00304645" w:rsidP="00231521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425A04" w:rsidRDefault="00304645" w:rsidP="00304645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304645" w:rsidRPr="00425A04" w:rsidRDefault="00304645" w:rsidP="00231521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г. Стерлитамак</w:t>
            </w:r>
          </w:p>
        </w:tc>
        <w:tc>
          <w:tcPr>
            <w:tcW w:w="947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А - </w:t>
            </w:r>
            <w:r w:rsidRPr="00425A04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842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276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137,5</w:t>
            </w:r>
          </w:p>
        </w:tc>
        <w:tc>
          <w:tcPr>
            <w:tcW w:w="1776" w:type="dxa"/>
          </w:tcPr>
          <w:p w:rsidR="00304645" w:rsidRDefault="00304645" w:rsidP="00231521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425A04" w:rsidRDefault="00304645" w:rsidP="00304645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304645" w:rsidRPr="00425A04" w:rsidRDefault="00304645" w:rsidP="00231521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г. Ишимбай </w:t>
            </w:r>
          </w:p>
        </w:tc>
        <w:tc>
          <w:tcPr>
            <w:tcW w:w="947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А - </w:t>
            </w:r>
            <w:r w:rsidRPr="00425A04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842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276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161,8</w:t>
            </w:r>
          </w:p>
        </w:tc>
        <w:tc>
          <w:tcPr>
            <w:tcW w:w="1776" w:type="dxa"/>
          </w:tcPr>
          <w:p w:rsidR="00304645" w:rsidRDefault="00304645" w:rsidP="00231521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425A04" w:rsidRDefault="00304645" w:rsidP="00304645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304645" w:rsidRPr="00425A04" w:rsidRDefault="00304645" w:rsidP="00231521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г. Мелеуз</w:t>
            </w:r>
          </w:p>
        </w:tc>
        <w:tc>
          <w:tcPr>
            <w:tcW w:w="947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А - </w:t>
            </w:r>
            <w:r w:rsidRPr="00425A04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842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5A04">
              <w:rPr>
                <w:rFonts w:ascii="Times New Roman" w:hAnsi="Times New Roman" w:cs="Times New Roman"/>
              </w:rPr>
              <w:t>0,1</w:t>
            </w:r>
            <w:r w:rsidRPr="00425A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1776" w:type="dxa"/>
          </w:tcPr>
          <w:p w:rsidR="00304645" w:rsidRDefault="00304645" w:rsidP="00231521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425A04" w:rsidRDefault="00304645" w:rsidP="00304645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304645" w:rsidRPr="00425A04" w:rsidRDefault="00304645" w:rsidP="00231521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г. Бирск </w:t>
            </w:r>
          </w:p>
        </w:tc>
        <w:tc>
          <w:tcPr>
            <w:tcW w:w="947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П-2</w:t>
            </w:r>
          </w:p>
        </w:tc>
        <w:tc>
          <w:tcPr>
            <w:tcW w:w="1842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276" w:type="dxa"/>
          </w:tcPr>
          <w:p w:rsidR="00304645" w:rsidRPr="00425A04" w:rsidRDefault="00304645" w:rsidP="00231521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76" w:type="dxa"/>
          </w:tcPr>
          <w:p w:rsidR="00304645" w:rsidRDefault="00304645" w:rsidP="00231521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04645" w:rsidRPr="00EC007C" w:rsidTr="00304645">
        <w:trPr>
          <w:trHeight w:val="61"/>
        </w:trPr>
        <w:tc>
          <w:tcPr>
            <w:tcW w:w="9813" w:type="dxa"/>
            <w:gridSpan w:val="7"/>
          </w:tcPr>
          <w:p w:rsidR="00304645" w:rsidRPr="00034972" w:rsidRDefault="00304645" w:rsidP="00231521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b w:val="0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21" w:type="dxa"/>
            <w:gridSpan w:val="2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 xml:space="preserve">Заказчик </w:t>
            </w:r>
          </w:p>
        </w:tc>
        <w:tc>
          <w:tcPr>
            <w:tcW w:w="6028" w:type="dxa"/>
            <w:gridSpan w:val="4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left="172" w:right="131" w:hanging="139"/>
              <w:jc w:val="both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>ПАО «Башинформсвязь»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b w:val="0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1" w:type="dxa"/>
            <w:gridSpan w:val="2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left="177" w:hanging="17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 xml:space="preserve">Подрядчик </w:t>
            </w:r>
          </w:p>
        </w:tc>
        <w:tc>
          <w:tcPr>
            <w:tcW w:w="6028" w:type="dxa"/>
            <w:gridSpan w:val="4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left="172" w:right="131" w:hanging="139"/>
              <w:jc w:val="both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>По результатам отбора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b w:val="0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21" w:type="dxa"/>
            <w:gridSpan w:val="2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left="177" w:hanging="177"/>
              <w:jc w:val="left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>Исходные данные</w:t>
            </w:r>
          </w:p>
        </w:tc>
        <w:tc>
          <w:tcPr>
            <w:tcW w:w="6028" w:type="dxa"/>
            <w:gridSpan w:val="4"/>
          </w:tcPr>
          <w:p w:rsidR="00304645" w:rsidRPr="00EC007C" w:rsidRDefault="00304645" w:rsidP="00231521">
            <w:pPr>
              <w:pStyle w:val="2"/>
              <w:shd w:val="clear" w:color="auto" w:fill="auto"/>
              <w:tabs>
                <w:tab w:val="left" w:pos="4995"/>
              </w:tabs>
              <w:spacing w:before="0" w:line="240" w:lineRule="auto"/>
              <w:ind w:left="33" w:right="131"/>
              <w:jc w:val="left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Паспорта </w:t>
            </w:r>
            <w:r w:rsidRPr="00EC007C">
              <w:rPr>
                <w:rStyle w:val="12pt"/>
                <w:lang w:eastAsia="ru-RU"/>
              </w:rPr>
              <w:t>ЗС ГО;</w:t>
            </w:r>
          </w:p>
          <w:p w:rsidR="00304645" w:rsidRPr="00EC007C" w:rsidRDefault="00304645" w:rsidP="00231521">
            <w:pPr>
              <w:pStyle w:val="2"/>
              <w:shd w:val="clear" w:color="auto" w:fill="auto"/>
              <w:tabs>
                <w:tab w:val="left" w:pos="4995"/>
              </w:tabs>
              <w:spacing w:before="0" w:line="240" w:lineRule="auto"/>
              <w:ind w:left="33" w:right="131"/>
              <w:jc w:val="left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План </w:t>
            </w:r>
            <w:r w:rsidRPr="00EC007C">
              <w:rPr>
                <w:rStyle w:val="12pt"/>
                <w:lang w:eastAsia="ru-RU"/>
              </w:rPr>
              <w:t>ЗС ГО</w:t>
            </w: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 с экспликацией помещений; проектная документация (при наличии)</w:t>
            </w:r>
            <w:r>
              <w:rPr>
                <w:b w:val="0"/>
                <w:color w:val="000000"/>
                <w:sz w:val="24"/>
                <w:szCs w:val="24"/>
                <w:lang w:eastAsia="ru-RU"/>
              </w:rPr>
              <w:t>;</w:t>
            </w:r>
          </w:p>
          <w:p w:rsidR="00304645" w:rsidRPr="00EC007C" w:rsidRDefault="00304645" w:rsidP="00304645">
            <w:pPr>
              <w:pStyle w:val="2"/>
              <w:shd w:val="clear" w:color="auto" w:fill="auto"/>
              <w:tabs>
                <w:tab w:val="left" w:pos="4995"/>
              </w:tabs>
              <w:spacing w:before="0" w:line="240" w:lineRule="auto"/>
              <w:ind w:left="33" w:right="131"/>
              <w:jc w:val="left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Дополнительные исходные данные по запросу Исполнителя. 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b w:val="0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21" w:type="dxa"/>
            <w:gridSpan w:val="2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left="177" w:hanging="17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>Вид работ</w:t>
            </w:r>
          </w:p>
        </w:tc>
        <w:tc>
          <w:tcPr>
            <w:tcW w:w="6028" w:type="dxa"/>
            <w:gridSpan w:val="4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131" w:hanging="1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Style w:val="12pt"/>
              </w:rPr>
              <w:t>Комплексная о</w:t>
            </w:r>
            <w:r w:rsidRPr="00EC007C">
              <w:rPr>
                <w:rStyle w:val="12pt"/>
              </w:rPr>
              <w:t xml:space="preserve">ценка технического состояния проводимая в соответствии с разделом </w:t>
            </w:r>
            <w:r w:rsidRPr="00EC007C">
              <w:rPr>
                <w:rStyle w:val="12pt"/>
                <w:lang w:val="en-US"/>
              </w:rPr>
              <w:t>IV</w:t>
            </w:r>
            <w:r w:rsidRPr="00EC007C">
              <w:rPr>
                <w:rStyle w:val="12pt"/>
              </w:rPr>
              <w:t xml:space="preserve"> Правил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b w:val="0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21" w:type="dxa"/>
            <w:gridSpan w:val="2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left="177" w:hanging="177"/>
              <w:jc w:val="left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>Вид финансирования</w:t>
            </w:r>
          </w:p>
        </w:tc>
        <w:tc>
          <w:tcPr>
            <w:tcW w:w="6028" w:type="dxa"/>
            <w:gridSpan w:val="4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left="172" w:right="131" w:hanging="139"/>
              <w:jc w:val="both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>Бюджет предприятия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b w:val="0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21" w:type="dxa"/>
            <w:gridSpan w:val="2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92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 xml:space="preserve">Сведения об местонахождении. </w:t>
            </w:r>
          </w:p>
        </w:tc>
        <w:tc>
          <w:tcPr>
            <w:tcW w:w="6028" w:type="dxa"/>
            <w:gridSpan w:val="4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left="33" w:right="9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 xml:space="preserve">Согласно </w:t>
            </w:r>
            <w:r>
              <w:rPr>
                <w:rStyle w:val="12pt"/>
                <w:lang w:eastAsia="ru-RU"/>
              </w:rPr>
              <w:t>п.1.3</w:t>
            </w: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t>1.9</w:t>
            </w:r>
            <w:r>
              <w:rPr>
                <w:b w:val="0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21" w:type="dxa"/>
            <w:gridSpan w:val="2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34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>Нормативные документы и требования.</w:t>
            </w:r>
          </w:p>
        </w:tc>
        <w:tc>
          <w:tcPr>
            <w:tcW w:w="6028" w:type="dxa"/>
            <w:gridSpan w:val="4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34"/>
              <w:jc w:val="both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 xml:space="preserve">Приказ МЧС России от 15.12.2002 № 583 «Об утверждении и введении в действие Правил эксплуатации защитных сооружений гражданской </w:t>
            </w:r>
            <w:r w:rsidRPr="00EC007C">
              <w:rPr>
                <w:rStyle w:val="12pt"/>
                <w:lang w:eastAsia="ru-RU"/>
              </w:rPr>
              <w:lastRenderedPageBreak/>
              <w:t xml:space="preserve">обороны» (в ред. Приказов МЧС России от 09.08.2010 </w:t>
            </w:r>
            <w:r>
              <w:rPr>
                <w:rStyle w:val="12pt"/>
                <w:lang w:eastAsia="ru-RU"/>
              </w:rPr>
              <w:t>№</w:t>
            </w:r>
            <w:r w:rsidRPr="00EC007C">
              <w:rPr>
                <w:rStyle w:val="12pt"/>
                <w:lang w:eastAsia="ru-RU"/>
              </w:rPr>
              <w:t xml:space="preserve">377, от 22.12.2015 </w:t>
            </w:r>
            <w:r>
              <w:rPr>
                <w:rStyle w:val="12pt"/>
                <w:lang w:eastAsia="ru-RU"/>
              </w:rPr>
              <w:t>№</w:t>
            </w:r>
            <w:r w:rsidRPr="00EC007C">
              <w:rPr>
                <w:rStyle w:val="12pt"/>
                <w:lang w:eastAsia="ru-RU"/>
              </w:rPr>
              <w:t>679)</w:t>
            </w:r>
          </w:p>
          <w:p w:rsidR="00304645" w:rsidRDefault="00304645" w:rsidP="00231521">
            <w:pPr>
              <w:pStyle w:val="2"/>
              <w:shd w:val="clear" w:color="auto" w:fill="auto"/>
              <w:spacing w:before="0" w:line="240" w:lineRule="auto"/>
              <w:ind w:right="34"/>
              <w:jc w:val="both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>СП 88.13330.2014 Защитные сооружения гражданской обороны (СНиП II-II-77*)</w:t>
            </w:r>
          </w:p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34"/>
              <w:jc w:val="both"/>
              <w:rPr>
                <w:rStyle w:val="12pt"/>
                <w:lang w:eastAsia="ru-RU"/>
              </w:rPr>
            </w:pPr>
          </w:p>
        </w:tc>
      </w:tr>
      <w:tr w:rsidR="00304645" w:rsidRPr="00EC007C" w:rsidTr="00304645">
        <w:trPr>
          <w:trHeight w:val="285"/>
        </w:trPr>
        <w:tc>
          <w:tcPr>
            <w:tcW w:w="764" w:type="dxa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049" w:type="dxa"/>
            <w:gridSpan w:val="6"/>
          </w:tcPr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34"/>
              <w:rPr>
                <w:rStyle w:val="12pt"/>
                <w:b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>Оценка технического состояния ЗС ГО</w:t>
            </w:r>
          </w:p>
        </w:tc>
      </w:tr>
      <w:tr w:rsidR="00304645" w:rsidRPr="00EC007C" w:rsidTr="00304645">
        <w:trPr>
          <w:trHeight w:val="285"/>
        </w:trPr>
        <w:tc>
          <w:tcPr>
            <w:tcW w:w="9813" w:type="dxa"/>
            <w:gridSpan w:val="7"/>
          </w:tcPr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Оценивается: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общее состояние сооружения и состояние входов, аварийных выходов, воздухозаборных и выхлопных каналов;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исправность дверей (ворот, ставней) и механизмов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задраивания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исправность защитных устройств, систем вентиляции, водоснабжения, канализации, электроснабжения, связи, автоматики и другого оборудования;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использование площадей помещений для нужд экономики и обслуживания населения;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наличие и состояние средств пожаротушения;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наличие проектной документации.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Проверяется: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герметичность убежища;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работоспособность всех систем инженерно-технического оборудования и защитных устройств;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соответствие цвета окраски инженерных систем п.3.2.10 Правил;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возможность приведения защитного сооружения в готовность в соответствии с Планом приведения в готовность;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в режиме ЗС ГО в течение 6 часов с оценкой технического состояния работы по режимам чистой вентиляции и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фильтровентиляции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наличие проектной документации.</w:t>
            </w:r>
          </w:p>
          <w:p w:rsidR="00304645" w:rsidRPr="00EC007C" w:rsidRDefault="00304645" w:rsidP="00231521">
            <w:pPr>
              <w:pStyle w:val="ConsPlusNormal"/>
              <w:spacing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технического состояния ЗС ГО оформляются актом, форма которого приведена в </w:t>
            </w:r>
            <w:r w:rsidRPr="00E714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приложении № 13 Правил. При</w:t>
            </w: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обнаружении неисправностей и дефектов строительных и ограждающих конструкций, оборудования технических систем или их отдельных элементов составляется ведомость дефектов, форма которой </w:t>
            </w:r>
            <w:r w:rsidRPr="00E714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приведена в приложении №14 Правил</w:t>
            </w: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. По итогам Оценки по каждому ЗС ГО требуется разработать и представить на утверждение акт обследования, дефектную ведомость в соответствии с п. 4.1.6 Правил и локальный сметный расчет (Гранд-Смета) для приведения ЗС ГО в соответствие требованиям норм ИТМ ГО и Правил. </w:t>
            </w:r>
          </w:p>
          <w:p w:rsidR="00304645" w:rsidRPr="00425A04" w:rsidRDefault="00304645" w:rsidP="00231521">
            <w:pPr>
              <w:pStyle w:val="ConsPlusNormal"/>
              <w:spacing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Дефектная ведомость дополнительно должна содержать:</w:t>
            </w:r>
          </w:p>
          <w:p w:rsidR="00304645" w:rsidRPr="00425A04" w:rsidRDefault="00304645" w:rsidP="00231521">
            <w:pPr>
              <w:pStyle w:val="ConsPlusNormal"/>
              <w:spacing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сведения о том, какие пункты Правил или ГОСТ нарушены выявленными дефектами;</w:t>
            </w:r>
          </w:p>
          <w:p w:rsidR="00304645" w:rsidRPr="00425A04" w:rsidRDefault="00304645" w:rsidP="00231521">
            <w:pPr>
              <w:pStyle w:val="ConsPlusNormal"/>
              <w:spacing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подписанный и пронумерованный альбом цветных фотографий дефектных узлов и элементов ЗС ГО в цифровом виде (формат </w:t>
            </w:r>
            <w:r w:rsidRPr="00425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jpeg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5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tiff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), и на бумажном носителе (10х15 см);</w:t>
            </w:r>
          </w:p>
          <w:p w:rsidR="00304645" w:rsidRPr="00425A04" w:rsidRDefault="00304645" w:rsidP="00231521">
            <w:pPr>
              <w:pStyle w:val="ConsPlusNormal"/>
              <w:spacing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схему ЗС ГО на бумажном носителе формата А-3 и в электронном виде                          </w:t>
            </w:r>
            <w:proofErr w:type="gramStart"/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в редакторе </w:t>
            </w:r>
            <w:proofErr w:type="spellStart"/>
            <w:r w:rsidRPr="00425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CorelD</w:t>
            </w:r>
            <w:proofErr w:type="spellEnd"/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RAW версия </w:t>
            </w:r>
            <w:r w:rsidRPr="00425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6 или ниже) с указанием всех помещений, размещенного в нем оборудования, (экспликация помещений и оборудования) номеров фотографий, точек и направлений съемки каждого дефектного узла или элемента, указанного в дефектной ведомости;</w:t>
            </w:r>
          </w:p>
          <w:p w:rsidR="00304645" w:rsidRDefault="00304645" w:rsidP="00231521">
            <w:pPr>
              <w:pStyle w:val="ConsPlusNormal"/>
              <w:ind w:firstLine="7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эксплуатационные схемы на бумажном носителе формата А-3 и в электронном виде (в редакторе </w:t>
            </w:r>
            <w:proofErr w:type="spellStart"/>
            <w:r w:rsidRPr="00425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CorelD</w:t>
            </w:r>
            <w:proofErr w:type="spellEnd"/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RAW версия </w:t>
            </w:r>
            <w:r w:rsidRPr="00425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6 или ниже): систем вентиляции; водоснабжения и канализации; электроснабжения ЗС ГО.</w:t>
            </w:r>
          </w:p>
          <w:p w:rsidR="00304645" w:rsidRDefault="00304645" w:rsidP="00231521">
            <w:pPr>
              <w:pStyle w:val="2"/>
              <w:shd w:val="clear" w:color="auto" w:fill="auto"/>
              <w:spacing w:before="0" w:line="240" w:lineRule="auto"/>
              <w:ind w:right="34"/>
              <w:rPr>
                <w:rStyle w:val="12pt"/>
                <w:b/>
                <w:lang w:eastAsia="ru-RU"/>
              </w:rPr>
            </w:pPr>
          </w:p>
          <w:p w:rsidR="00304645" w:rsidRPr="00EC007C" w:rsidRDefault="00304645" w:rsidP="00231521">
            <w:pPr>
              <w:pStyle w:val="2"/>
              <w:shd w:val="clear" w:color="auto" w:fill="auto"/>
              <w:spacing w:before="0" w:line="240" w:lineRule="auto"/>
              <w:ind w:right="34"/>
              <w:rPr>
                <w:rStyle w:val="12pt"/>
                <w:b/>
                <w:lang w:eastAsia="ru-RU"/>
              </w:rPr>
            </w:pPr>
          </w:p>
        </w:tc>
      </w:tr>
      <w:tr w:rsidR="00304645" w:rsidRPr="00EC007C" w:rsidTr="00304645">
        <w:trPr>
          <w:trHeight w:val="285"/>
        </w:trPr>
        <w:tc>
          <w:tcPr>
            <w:tcW w:w="9813" w:type="dxa"/>
            <w:gridSpan w:val="7"/>
          </w:tcPr>
          <w:p w:rsidR="00304645" w:rsidRPr="00EC007C" w:rsidRDefault="00304645" w:rsidP="00231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2.1. Оценка технического состояния ограждающих конструкций</w:t>
            </w:r>
          </w:p>
          <w:p w:rsidR="00304645" w:rsidRDefault="00304645" w:rsidP="00231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и защитных устройств</w:t>
            </w:r>
          </w:p>
          <w:p w:rsidR="00304645" w:rsidRPr="00EC007C" w:rsidRDefault="00304645" w:rsidP="00231521">
            <w:pPr>
              <w:pStyle w:val="ConsPlusNormal"/>
              <w:jc w:val="center"/>
              <w:rPr>
                <w:rStyle w:val="12pt"/>
                <w:b w:val="0"/>
              </w:rPr>
            </w:pPr>
          </w:p>
        </w:tc>
      </w:tr>
      <w:tr w:rsidR="00304645" w:rsidRPr="00EC007C" w:rsidTr="00304645">
        <w:trPr>
          <w:trHeight w:val="285"/>
        </w:trPr>
        <w:tc>
          <w:tcPr>
            <w:tcW w:w="9813" w:type="dxa"/>
            <w:gridSpan w:val="7"/>
          </w:tcPr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технического состояния ограждающих конструкций осуществляется внешним осмотром поверхностей стен, потолков, полов во всех помещениях ЗС ГО.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У отдельно стоящих ЗС ГО проверяется состояние обвалования (дернового покрова); у встроенных -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отмостка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и прилегающая территория.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защитно-герметических и герметических ворот, дверей, ставней и их механизмов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задраивания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внешним осмотром и практическим испытанием в действии.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Состояние полотен защитных устройств и их навесов проверяется закрытием на все затворы. При этом затворы должны прижимать полотно примерно с одинаковым усилием. Двери и ставни должны закрываться усилием одного человека.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Устройство в ограждающих конструкциях отверстий и проемов, не предусмотренных проектной документацией, является грубым нарушением защитных свойств сооружений.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Окончательные выводы о состоянии ограждающих конструкций и защитных устройств делаются по результатам проверки сооружения на герметичность.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4.2.6. Контроль состояния осуществляется в отношении технических систем и оборудования ЗС ГО, предусмотренных проектной документацией.</w:t>
            </w:r>
          </w:p>
        </w:tc>
      </w:tr>
      <w:tr w:rsidR="00304645" w:rsidRPr="00EC007C" w:rsidTr="00304645">
        <w:trPr>
          <w:trHeight w:val="285"/>
        </w:trPr>
        <w:tc>
          <w:tcPr>
            <w:tcW w:w="9813" w:type="dxa"/>
            <w:gridSpan w:val="7"/>
          </w:tcPr>
          <w:p w:rsidR="00304645" w:rsidRPr="00EC007C" w:rsidRDefault="00304645" w:rsidP="00231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2.2 Оценка технического состояния системы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фильтровентиляции</w:t>
            </w:r>
            <w:proofErr w:type="spellEnd"/>
          </w:p>
          <w:p w:rsidR="00304645" w:rsidRDefault="00304645" w:rsidP="00231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и герметичности защитного сооружения</w:t>
            </w:r>
          </w:p>
          <w:p w:rsidR="00304645" w:rsidRPr="00EC007C" w:rsidRDefault="00304645" w:rsidP="00231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645" w:rsidRPr="00EC007C" w:rsidTr="00304645">
        <w:trPr>
          <w:trHeight w:val="285"/>
        </w:trPr>
        <w:tc>
          <w:tcPr>
            <w:tcW w:w="9813" w:type="dxa"/>
            <w:gridSpan w:val="7"/>
          </w:tcPr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системы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фильтровентиляции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проверяется путем внешнего осмотра всех агрегатов и устройств (вентиляторов, фильтров, герметических клапанов, клапанов избыточного давления, противовзрывных устройств, регенеративных установок,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воздухозаборов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, измерительных приборов), а правильность их установки - в соответствии с требованиями инструкций заводов-изготовителей по их эксплуатации.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Оценка работоспособности промышленных вентиляторов производится запуском электродвигателей, а электроручных - также и с помощью ручного привода. В системах, оборудованных расходомерами, проверяется их исправность.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Не допускаются к установке и эксплуатации ФП и регенеративные патроны с вмятинами и другими повреждениями корпусов, с закрашенными маркировочными надписями. ФП монтируются на подставках.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Предфильтры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пакетные ПФП-1000 устанавливают по стрелкам направления движения воздуха. Фланцевое соединение фильтра с воздуховодом должно быть герметичным.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Клапаны избыточного давления устанавливаются строго вертикально,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тарель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клапана должна быть прижата к корпусу, рычаг должен легко вращаться на оси.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Исправность клапана в застопоренном состоянии проверяется путем просвечивания его со стороны тамбура в неосвещенное помещение убежища. Клапан считается герметичным, если на неосвещенной стороне по периметру прилегания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тарели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к седлу свет не виден. Клапан проверяется на легкость закрывания и открывания.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Для оценки исправности герметического клапана необходимо в воздуховоде перед закрытым клапаном, по ходу движения воздуха, просверлить отверстие диаметром 6 - 8 мм, закрыть все, кроме одного (ближайшего к клапану), приточные отверстия и включить в работу систему вентиляции. Затем в просверленное отверстие впрыснуть пульверизатором 50 - 75 г нашатырного спирта. Отсутствие запаха аммиака в ближайшем приточном отверстии (за клапаном) подтверждает герметичность клапана. После проведения испытания отверстие заделывается.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Штурвалы и рукоятки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гермоклапанов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 обращены в сторону, удобную для вращения.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Все герметические клапаны, вентиляторы и пускатели к ним должны быть промаркированы, а на воздуховодах обозначено направление движения воздуха.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424"/>
            <w:bookmarkEnd w:id="0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Герметичность убежища проверяется по величине подпора воздуха и производится в следующей последовательности: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закрываются все входные ворота, двери, ставни, люки, стопорятся клапаны избыточного давления, закрываются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гермоклапаны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и заглушки на воздуховодах вытяжных систем, сифоны заполняются водой;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включается в работу приточная система вентиляции, отрегулированная на заданную проектной документацией производительность, и по производительности вентиляторов определяется количество воздуха, подаваемого в убежище;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измеряется подпор воздуха в убежище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тягонапоромером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или другим пригодным для этих целей прибором. Во всех случаях замеренное значение подпора должно быть не менее значения, указанного в п. 4.3.10 Правил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определяются (при необходимости) места утечек воздуха по отклонению пламени свечи или с помощью мыльной пленки.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Местами возможной утечки воздуха могут быть: притворы герметических устройств (дверей, люков, клапанов и пр.), примыкания коробок дверей и ставней к ограждающим конструкциям, уплотнители клиновых затворов, места прохода через ограждающие конструкции различных вводов коммуникаций, места установки других закладных деталей, стыки сборных железобетонных элементов и другие. 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Кроме оценки на герметичность должно быть проведено испытание сооружения и систем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воздухоснабжения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на способность поддержания установленных величин избыточного давления (подпора) воздуха.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Для оценки подпора в режиме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фильтровентиляции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включается система приточной вентиляции в этом режиме и система вытяжной вентиляции, при этом соответствующие герметические клапаны должны быть открыты, а клапаны перетекания - свободны. Величина подпора воздуха в убежище должна составлять не менее 50 Па (5 мм вод. ст.).</w:t>
            </w:r>
          </w:p>
        </w:tc>
      </w:tr>
      <w:tr w:rsidR="00304645" w:rsidRPr="00EC007C" w:rsidTr="00304645">
        <w:trPr>
          <w:trHeight w:val="285"/>
        </w:trPr>
        <w:tc>
          <w:tcPr>
            <w:tcW w:w="9813" w:type="dxa"/>
            <w:gridSpan w:val="7"/>
          </w:tcPr>
          <w:p w:rsidR="00304645" w:rsidRPr="00EC007C" w:rsidRDefault="00304645" w:rsidP="00231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 Оценка технического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состояния фильтров-поглотителей</w:t>
            </w:r>
          </w:p>
        </w:tc>
      </w:tr>
      <w:tr w:rsidR="00304645" w:rsidRPr="00EC007C" w:rsidTr="00304645">
        <w:trPr>
          <w:trHeight w:val="285"/>
        </w:trPr>
        <w:tc>
          <w:tcPr>
            <w:tcW w:w="9813" w:type="dxa"/>
            <w:gridSpan w:val="7"/>
          </w:tcPr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состояния ФП последние подвергаются техническому осмотру 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Технический осмотр ФП необходимо проводить в следующей последовательности: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определить маркировку ФП, нанесенную на корпусе (наименование, дата изготовления, сопротивление в мм вод. ст. и др.);</w:t>
            </w:r>
          </w:p>
          <w:p w:rsidR="00304645" w:rsidRPr="00425A04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измерить сопротивление колонки ФП и отдельно каждого ФП (правила измерения сопротивления изложены в инструкциях по монтажу и эксплуатации ФП). Измерения по колонке и каждого ФП оформить в виде отдельного 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акта (в акт включить начальника и технический персонал структурного подразделения ПАО эксплуатирующего оцениваемое ЗСГО);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разобрать колонку (колонки) ФП;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отсоединить ФП друг от друга. Проверить наличие и состояние резиновых прокладок в соединениях;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проверить состояние оболочек. Допустима частичная коррозия корпуса, не вызывающая сквозного разрушения оболочки, и которая устраняется на месте;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отвернуть донную заглушку нижнего ФП колонки (колонок) и осмотреть ее внутреннюю поверхность. Внутренняя поверхность заглушки не должна иметь подтеков воды, ржавчины и других следов затопления ФП водой;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покачиванием и встряхиванием ФП убедиться в отсутствии пересыпания шихты;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взвесить ФП: вес с заглушкой не должен превышать предельно допустимого нормативного веса;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осмотреть с помощью переносной лампы фильтрующий материал и перфорированный цилиндр. На последнем не должно быть следов замачивания и ржавчины.</w:t>
            </w:r>
          </w:p>
          <w:p w:rsidR="00304645" w:rsidRPr="00425A04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При обнаружении хотя бы одного явно выраженного дефекта (сквозное ржавление или деформация оболочки глубиной более 30 мм, пересыпание или усадка шихты, переувлажнение или 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порыв фильтрующего материала) ФП выбраковывается.</w:t>
            </w:r>
          </w:p>
          <w:p w:rsidR="00304645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Перед последующей сборкой колонок производится замена потерявших эластичность резиновых прокладок на новые, очистка ФП от ржавчины, подкраске и восстановлении маркировки.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645" w:rsidRPr="00EC007C" w:rsidTr="00304645">
        <w:trPr>
          <w:trHeight w:val="285"/>
        </w:trPr>
        <w:tc>
          <w:tcPr>
            <w:tcW w:w="9813" w:type="dxa"/>
            <w:gridSpan w:val="7"/>
          </w:tcPr>
          <w:p w:rsidR="00304645" w:rsidRPr="00EC007C" w:rsidRDefault="00304645" w:rsidP="00231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2.4 Оценка технического состояния систем водоснабжения,</w:t>
            </w:r>
          </w:p>
          <w:p w:rsidR="00304645" w:rsidRPr="00EC007C" w:rsidRDefault="00304645" w:rsidP="00231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канализации и энергетических устройств</w:t>
            </w:r>
          </w:p>
        </w:tc>
      </w:tr>
      <w:tr w:rsidR="00304645" w:rsidRPr="00EC007C" w:rsidTr="00304645">
        <w:trPr>
          <w:trHeight w:val="285"/>
        </w:trPr>
        <w:tc>
          <w:tcPr>
            <w:tcW w:w="9813" w:type="dxa"/>
            <w:gridSpan w:val="7"/>
          </w:tcPr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технического состояния системы водоснабжения и канализации осуществляется </w:t>
            </w:r>
            <w:r w:rsidRPr="00EC0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путем оценки работоспособности вентилей, задвижек, кранов, насосов, трубопроводов и магистралей.</w:t>
            </w:r>
          </w:p>
          <w:p w:rsidR="00304645" w:rsidRPr="00EC007C" w:rsidRDefault="00304645" w:rsidP="0023152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Емкости запаса питьевой воды должны быть оборудованы </w:t>
            </w:r>
            <w:proofErr w:type="spellStart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водоуказателями</w:t>
            </w:r>
            <w:proofErr w:type="spellEnd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, водоразборными кранами, иметь люки для возможности очистки и окраски внутренних поверхностей. При этом особое внимание обращается на наличие воды в напорных емкостях, а в аварийных безнапорных емкостях - на их исправность и чистоту содержания.</w:t>
            </w:r>
          </w:p>
        </w:tc>
      </w:tr>
    </w:tbl>
    <w:p w:rsidR="00304645" w:rsidRPr="00B6703F" w:rsidRDefault="00304645" w:rsidP="00304645">
      <w:pPr>
        <w:pStyle w:val="2"/>
        <w:shd w:val="clear" w:color="auto" w:fill="auto"/>
        <w:spacing w:before="0" w:line="240" w:lineRule="auto"/>
        <w:ind w:right="160"/>
        <w:jc w:val="left"/>
      </w:pPr>
    </w:p>
    <w:p w:rsidR="00304645" w:rsidRDefault="00304645" w:rsidP="00304645">
      <w:pPr>
        <w:pStyle w:val="2"/>
        <w:shd w:val="clear" w:color="auto" w:fill="auto"/>
        <w:spacing w:before="0" w:line="240" w:lineRule="auto"/>
        <w:ind w:right="160"/>
        <w:jc w:val="left"/>
      </w:pPr>
    </w:p>
    <w:p w:rsidR="00304645" w:rsidRDefault="00304645" w:rsidP="00304645">
      <w:pPr>
        <w:pStyle w:val="2"/>
        <w:shd w:val="clear" w:color="auto" w:fill="auto"/>
        <w:spacing w:before="0" w:line="240" w:lineRule="auto"/>
        <w:ind w:right="160"/>
        <w:jc w:val="left"/>
      </w:pPr>
    </w:p>
    <w:p w:rsidR="00304645" w:rsidRDefault="00304645" w:rsidP="00304645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B528FF" w:rsidRPr="00304645" w:rsidRDefault="00B528FF">
      <w:pPr>
        <w:rPr>
          <w:rFonts w:ascii="Times New Roman" w:hAnsi="Times New Roman" w:cs="Times New Roman"/>
          <w:sz w:val="28"/>
          <w:szCs w:val="28"/>
        </w:rPr>
      </w:pPr>
    </w:p>
    <w:sectPr w:rsidR="00B528FF" w:rsidRPr="00304645" w:rsidSect="00304645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90E" w:rsidRDefault="0042090E" w:rsidP="00304645">
      <w:r>
        <w:separator/>
      </w:r>
    </w:p>
  </w:endnote>
  <w:endnote w:type="continuationSeparator" w:id="0">
    <w:p w:rsidR="0042090E" w:rsidRDefault="0042090E" w:rsidP="0030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90E" w:rsidRDefault="0042090E" w:rsidP="00304645">
      <w:r>
        <w:separator/>
      </w:r>
    </w:p>
  </w:footnote>
  <w:footnote w:type="continuationSeparator" w:id="0">
    <w:p w:rsidR="0042090E" w:rsidRDefault="0042090E" w:rsidP="00304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4751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04645" w:rsidRPr="00304645" w:rsidRDefault="00304645">
        <w:pPr>
          <w:pStyle w:val="a6"/>
          <w:jc w:val="center"/>
          <w:rPr>
            <w:rFonts w:ascii="Times New Roman" w:hAnsi="Times New Roman" w:cs="Times New Roman"/>
          </w:rPr>
        </w:pPr>
        <w:r w:rsidRPr="00304645">
          <w:rPr>
            <w:rFonts w:ascii="Times New Roman" w:hAnsi="Times New Roman" w:cs="Times New Roman"/>
          </w:rPr>
          <w:fldChar w:fldCharType="begin"/>
        </w:r>
        <w:r w:rsidRPr="00304645">
          <w:rPr>
            <w:rFonts w:ascii="Times New Roman" w:hAnsi="Times New Roman" w:cs="Times New Roman"/>
          </w:rPr>
          <w:instrText>PAGE   \* MERGEFORMAT</w:instrText>
        </w:r>
        <w:r w:rsidRPr="00304645">
          <w:rPr>
            <w:rFonts w:ascii="Times New Roman" w:hAnsi="Times New Roman" w:cs="Times New Roman"/>
          </w:rPr>
          <w:fldChar w:fldCharType="separate"/>
        </w:r>
        <w:r w:rsidR="00641F50">
          <w:rPr>
            <w:rFonts w:ascii="Times New Roman" w:hAnsi="Times New Roman" w:cs="Times New Roman"/>
            <w:noProof/>
          </w:rPr>
          <w:t>2</w:t>
        </w:r>
        <w:r w:rsidRPr="00304645">
          <w:rPr>
            <w:rFonts w:ascii="Times New Roman" w:hAnsi="Times New Roman" w:cs="Times New Roman"/>
          </w:rPr>
          <w:fldChar w:fldCharType="end"/>
        </w:r>
      </w:p>
    </w:sdtContent>
  </w:sdt>
  <w:p w:rsidR="00304645" w:rsidRDefault="0030464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D72245"/>
    <w:multiLevelType w:val="hybridMultilevel"/>
    <w:tmpl w:val="AF585B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645"/>
    <w:rsid w:val="000022B3"/>
    <w:rsid w:val="00087880"/>
    <w:rsid w:val="00262FA9"/>
    <w:rsid w:val="00304645"/>
    <w:rsid w:val="0042090E"/>
    <w:rsid w:val="005F4480"/>
    <w:rsid w:val="00641F50"/>
    <w:rsid w:val="008612CE"/>
    <w:rsid w:val="009A67DE"/>
    <w:rsid w:val="00B528FF"/>
    <w:rsid w:val="00CA7D17"/>
    <w:rsid w:val="00DF6972"/>
    <w:rsid w:val="00F54375"/>
    <w:rsid w:val="00F56599"/>
    <w:rsid w:val="00F6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4334C-4595-4913-B50B-DB6D674D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645"/>
    <w:pPr>
      <w:widowControl w:val="0"/>
      <w:ind w:firstLine="0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4645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4645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x-none" w:eastAsia="x-none"/>
    </w:rPr>
  </w:style>
  <w:style w:type="character" w:customStyle="1" w:styleId="a3">
    <w:name w:val="Основной текст_"/>
    <w:link w:val="2"/>
    <w:locked/>
    <w:rsid w:val="0030464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2pt">
    <w:name w:val="Основной текст + 12 pt"/>
    <w:aliases w:val="Не полужирный"/>
    <w:rsid w:val="00304645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x-none"/>
    </w:rPr>
  </w:style>
  <w:style w:type="character" w:customStyle="1" w:styleId="11">
    <w:name w:val="Основной текст + 11"/>
    <w:aliases w:val="5 pt"/>
    <w:rsid w:val="00304645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paragraph" w:customStyle="1" w:styleId="2">
    <w:name w:val="Основной текст2"/>
    <w:basedOn w:val="a"/>
    <w:link w:val="a3"/>
    <w:rsid w:val="00304645"/>
    <w:pPr>
      <w:shd w:val="clear" w:color="auto" w:fill="FFFFFF"/>
      <w:spacing w:before="2640" w:line="322" w:lineRule="exac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styleId="a4">
    <w:name w:val="Title"/>
    <w:basedOn w:val="a"/>
    <w:link w:val="a5"/>
    <w:qFormat/>
    <w:rsid w:val="00304645"/>
    <w:pPr>
      <w:widowControl/>
      <w:jc w:val="center"/>
    </w:pPr>
    <w:rPr>
      <w:rFonts w:eastAsia="Courier New"/>
      <w:b/>
      <w:color w:val="auto"/>
      <w:szCs w:val="20"/>
    </w:rPr>
  </w:style>
  <w:style w:type="character" w:customStyle="1" w:styleId="a5">
    <w:name w:val="Название Знак"/>
    <w:basedOn w:val="a0"/>
    <w:link w:val="a4"/>
    <w:rsid w:val="00304645"/>
    <w:rPr>
      <w:rFonts w:ascii="Courier New" w:eastAsia="Courier New" w:hAnsi="Courier New" w:cs="Courier New"/>
      <w:b/>
      <w:sz w:val="24"/>
      <w:szCs w:val="20"/>
      <w:lang w:eastAsia="ru-RU"/>
    </w:rPr>
  </w:style>
  <w:style w:type="paragraph" w:customStyle="1" w:styleId="ConsPlusNormal">
    <w:name w:val="ConsPlusNormal"/>
    <w:rsid w:val="00304645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046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4645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046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4645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 Сергей Витальевич</dc:creator>
  <cp:keywords/>
  <dc:description/>
  <cp:lastModifiedBy>Фаррахова Эльвера Римовна</cp:lastModifiedBy>
  <cp:revision>3</cp:revision>
  <dcterms:created xsi:type="dcterms:W3CDTF">2016-11-10T04:02:00Z</dcterms:created>
  <dcterms:modified xsi:type="dcterms:W3CDTF">2016-11-11T08:55:00Z</dcterms:modified>
</cp:coreProperties>
</file>